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AD" w:rsidRDefault="009476AD" w:rsidP="009476AD">
      <w:pPr>
        <w:pStyle w:val="xmsonormal"/>
        <w:spacing w:after="0"/>
        <w:jc w:val="right"/>
        <w:rPr>
          <w:b/>
        </w:rPr>
      </w:pPr>
      <w:r w:rsidRPr="00BD6C16">
        <w:rPr>
          <w:b/>
          <w:sz w:val="28"/>
        </w:rPr>
        <w:t>2. sz. mellékle</w:t>
      </w:r>
      <w:r w:rsidRPr="00772384">
        <w:rPr>
          <w:b/>
        </w:rPr>
        <w:t xml:space="preserve">t </w:t>
      </w:r>
    </w:p>
    <w:p w:rsidR="009476AD" w:rsidRDefault="009476AD" w:rsidP="009476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476AD" w:rsidRDefault="009476AD" w:rsidP="009476A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01700" cy="665133"/>
            <wp:effectExtent l="0" t="0" r="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i másola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418" cy="6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6AD" w:rsidRPr="00535F78" w:rsidRDefault="009476AD" w:rsidP="009476A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F78">
        <w:rPr>
          <w:rFonts w:ascii="Times New Roman" w:hAnsi="Times New Roman" w:cs="Times New Roman"/>
          <w:b/>
          <w:sz w:val="24"/>
          <w:szCs w:val="24"/>
        </w:rPr>
        <w:t>ORSZÁGOS KÖZEGÉSZSÉGÜGYI INTÉZET</w:t>
      </w:r>
    </w:p>
    <w:p w:rsidR="009476AD" w:rsidRPr="00BD6C16" w:rsidRDefault="009476AD" w:rsidP="009476AD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BD6C16">
        <w:rPr>
          <w:rFonts w:ascii="Times New Roman" w:hAnsi="Times New Roman" w:cs="Times New Roman"/>
          <w:sz w:val="24"/>
          <w:szCs w:val="24"/>
        </w:rPr>
        <w:t>1097 Budapest, Albert Flórián út 2-6.</w:t>
      </w:r>
    </w:p>
    <w:p w:rsidR="009476AD" w:rsidRDefault="009476AD" w:rsidP="009476AD">
      <w:pPr>
        <w:pStyle w:val="lfej"/>
        <w:pBdr>
          <w:bottom w:val="single" w:sz="4" w:space="1" w:color="auto"/>
        </w:pBdr>
      </w:pPr>
    </w:p>
    <w:p w:rsidR="009476AD" w:rsidRDefault="009476AD" w:rsidP="009476AD">
      <w:pPr>
        <w:pStyle w:val="xmsonormal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9476AD" w:rsidRPr="00BD6C16" w:rsidRDefault="009476AD" w:rsidP="009476AD">
      <w:pPr>
        <w:pStyle w:val="xmsonormal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BD6C16">
        <w:rPr>
          <w:b/>
          <w:sz w:val="28"/>
        </w:rPr>
        <w:t xml:space="preserve">Az OKI lakossági </w:t>
      </w:r>
      <w:r w:rsidRPr="00BD6C16">
        <w:rPr>
          <w:b/>
          <w:sz w:val="28"/>
          <w:szCs w:val="28"/>
        </w:rPr>
        <w:t>t</w:t>
      </w:r>
      <w:r w:rsidRPr="00BD6C16">
        <w:rPr>
          <w:b/>
          <w:color w:val="000000"/>
          <w:sz w:val="28"/>
          <w:szCs w:val="28"/>
        </w:rPr>
        <w:t>ájékoztatója az otthoni ivóvíz utótisztító kisberendezések alkalmazhatóságáról</w:t>
      </w:r>
    </w:p>
    <w:p w:rsidR="009476AD" w:rsidRDefault="009476AD" w:rsidP="009476A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9476AD" w:rsidRDefault="009476AD" w:rsidP="009476A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9476AD" w:rsidRPr="00BD6C16" w:rsidRDefault="009476AD" w:rsidP="009476A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6C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Tájékoztató a vízcsapra szerelhető háztartási ivóvízkezelő kisberendezésekről</w:t>
      </w:r>
    </w:p>
    <w:p w:rsidR="009476AD" w:rsidRPr="00BD6C16" w:rsidRDefault="009476AD" w:rsidP="009476A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Pr="00F948B0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otthoni ivóvíz utótisztító kisberendezéseknek több típusa van forgalomban. 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Az, hogy javasolt-e az alkalmazásuk, illetve milyen típusú kisberendezés lehet alkalmas az ivóvíz utótisztítására, nagyban függ a helyi ivóvíz minőségétől. A vásárlás előtt érdemes figyelembe venni és mérlegelni a kisberendezések alkalmazásának előnyeit és hátrányait, a helyi ivóvíz minőségét és a megoldani kívánt problémát. Az épületen belüli hálózat állapotától függően egyes vízminőségi paraméterek (így az ivóvíz nehézfém pl. ólom tartalma) nagyon eltérőek lehetnek egy településen belül is. Ólom szempontjából elsősorban a régi épületek</w:t>
      </w:r>
      <w:r w:rsidR="004142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„veszélyeztetettek”,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ez</w:t>
      </w:r>
      <w:r w:rsidR="004142C2">
        <w:rPr>
          <w:rFonts w:ascii="Times New Roman" w:eastAsia="Times New Roman" w:hAnsi="Times New Roman" w:cs="Times New Roman"/>
          <w:sz w:val="24"/>
          <w:szCs w:val="24"/>
          <w:lang w:eastAsia="ar-SA"/>
        </w:rPr>
        <w:t>t esetleg javasolt vizsgáltatni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476AD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Amennyiben a vásárlás mellett döntenek, olyan kisberendezést válasszanak, amely rendelkezik </w:t>
      </w:r>
      <w:r w:rsidR="004142C2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4142C2"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z ivóvíz minőségi követelményeiről és az ellenőrzés rendjéről szóló</w:t>
      </w:r>
      <w:r w:rsidR="004142C2" w:rsidRPr="00290203">
        <w:rPr>
          <w:rFonts w:ascii="Times New Roman" w:hAnsi="Times New Roman" w:cs="Times New Roman"/>
          <w:sz w:val="24"/>
          <w:szCs w:val="24"/>
        </w:rPr>
        <w:t xml:space="preserve"> </w:t>
      </w:r>
      <w:r w:rsidRPr="00290203">
        <w:rPr>
          <w:rFonts w:ascii="Times New Roman" w:hAnsi="Times New Roman" w:cs="Times New Roman"/>
          <w:sz w:val="24"/>
          <w:szCs w:val="24"/>
        </w:rPr>
        <w:t>201/2001. (X.25.</w:t>
      </w:r>
      <w:r>
        <w:rPr>
          <w:rFonts w:ascii="Times New Roman" w:hAnsi="Times New Roman" w:cs="Times New Roman"/>
          <w:sz w:val="24"/>
          <w:szCs w:val="24"/>
        </w:rPr>
        <w:t>) Kormányrendelet</w:t>
      </w:r>
      <w:r w:rsidDel="00010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8/B. § alapján</w:t>
      </w:r>
      <w:r w:rsidDel="000D3966">
        <w:rPr>
          <w:rFonts w:ascii="Times New Roman" w:hAnsi="Times New Roman" w:cs="Times New Roman"/>
          <w:sz w:val="24"/>
          <w:szCs w:val="24"/>
        </w:rPr>
        <w:t xml:space="preserve"> 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kiadott </w:t>
      </w:r>
      <w:proofErr w:type="spellStart"/>
      <w:r w:rsidRPr="00031791">
        <w:rPr>
          <w:rFonts w:ascii="Times New Roman" w:hAnsi="Times New Roman" w:cs="Times New Roman"/>
          <w:sz w:val="24"/>
          <w:szCs w:val="24"/>
        </w:rPr>
        <w:t>ivóvízbiztonsági</w:t>
      </w:r>
      <w:proofErr w:type="spellEnd"/>
      <w:r w:rsidRPr="00031791">
        <w:rPr>
          <w:rFonts w:ascii="Times New Roman" w:hAnsi="Times New Roman" w:cs="Times New Roman"/>
          <w:sz w:val="24"/>
          <w:szCs w:val="24"/>
        </w:rPr>
        <w:t xml:space="preserve"> 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engedéllyel. A háztartási kisberendezések </w:t>
      </w:r>
      <w:proofErr w:type="spellStart"/>
      <w:r w:rsidRPr="00031791">
        <w:rPr>
          <w:rFonts w:ascii="Times New Roman" w:hAnsi="Times New Roman" w:cs="Times New Roman"/>
          <w:sz w:val="24"/>
          <w:szCs w:val="24"/>
        </w:rPr>
        <w:t>ivóvízbiztonsági</w:t>
      </w:r>
      <w:proofErr w:type="spellEnd"/>
      <w:r w:rsidRPr="00031791">
        <w:rPr>
          <w:rFonts w:ascii="Times New Roman" w:hAnsi="Times New Roman" w:cs="Times New Roman"/>
          <w:sz w:val="24"/>
          <w:szCs w:val="24"/>
        </w:rPr>
        <w:t xml:space="preserve"> 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engedélye kizárólag a hálózati vezetékes víz utótisztítására vonatkozik, saját kútv</w:t>
      </w:r>
      <w:r w:rsidR="004142C2">
        <w:rPr>
          <w:rFonts w:ascii="Times New Roman" w:eastAsia="Times New Roman" w:hAnsi="Times New Roman" w:cs="Times New Roman"/>
          <w:sz w:val="24"/>
          <w:szCs w:val="24"/>
          <w:lang w:eastAsia="ar-SA"/>
        </w:rPr>
        <w:t>í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z tisztításának értékelésére nem terjed ki.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76AD" w:rsidRDefault="009476AD" w:rsidP="009476A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6AD" w:rsidRPr="00F948B0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31791">
        <w:rPr>
          <w:rFonts w:ascii="Times New Roman" w:hAnsi="Times New Roman" w:cs="Times New Roman"/>
          <w:sz w:val="24"/>
          <w:szCs w:val="24"/>
        </w:rPr>
        <w:t xml:space="preserve">201/2001. (X. 25.) Korm. rendelet 8. §, 8/A. §, 8/B. § 2017. április 1. napján hatályba lépő módosítása szerint az ivó- és használati melegvíz-ellátásban, illetve medencés fürdővízellátásban vízzel közvetlenül érintkező bejelentés-köteles anyagok, termékek nyilvántartásba vételét, felülvizsgálatát, valamint a vízkezelési technológiák </w:t>
      </w:r>
      <w:proofErr w:type="spellStart"/>
      <w:r w:rsidRPr="00031791">
        <w:rPr>
          <w:rFonts w:ascii="Times New Roman" w:hAnsi="Times New Roman" w:cs="Times New Roman"/>
          <w:sz w:val="24"/>
          <w:szCs w:val="24"/>
        </w:rPr>
        <w:t>ivóvízbiztonsági</w:t>
      </w:r>
      <w:proofErr w:type="spellEnd"/>
      <w:r w:rsidRPr="00031791">
        <w:rPr>
          <w:rFonts w:ascii="Times New Roman" w:hAnsi="Times New Roman" w:cs="Times New Roman"/>
          <w:sz w:val="24"/>
          <w:szCs w:val="24"/>
        </w:rPr>
        <w:t xml:space="preserve"> engedélyezését, felülvizsgálatát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91">
        <w:rPr>
          <w:rFonts w:ascii="Times New Roman" w:hAnsi="Times New Roman" w:cs="Times New Roman"/>
          <w:sz w:val="24"/>
          <w:szCs w:val="24"/>
        </w:rPr>
        <w:t>2017. április 1. napjától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9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forgalmazó</w:t>
      </w:r>
      <w:r w:rsidRPr="00031791">
        <w:rPr>
          <w:rFonts w:ascii="Times New Roman" w:hAnsi="Times New Roman" w:cs="Times New Roman"/>
          <w:sz w:val="24"/>
          <w:szCs w:val="24"/>
        </w:rPr>
        <w:t xml:space="preserve"> székhelye szerint illetékes megyei kormányhivatalnál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91">
        <w:rPr>
          <w:rFonts w:ascii="Times New Roman" w:hAnsi="Times New Roman" w:cs="Times New Roman"/>
          <w:sz w:val="24"/>
          <w:szCs w:val="24"/>
        </w:rPr>
        <w:t>kell kérelmezni.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2017. március 31. napján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érvényes engedélyek listája az ÁNTSZ honlapján </w:t>
      </w:r>
      <w:r w:rsidRPr="00BD6C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(www.antsz.hu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található (a listán az összes vízzel érintkező anyag, technológia, nem </w:t>
      </w:r>
      <w:proofErr w:type="spellStart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biocid</w:t>
      </w:r>
      <w:proofErr w:type="spellEnd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vegyszer szerepel, köztük az otthoni ivóvíz utótisztító kisberendezések is).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1791">
        <w:rPr>
          <w:rFonts w:ascii="Times New Roman" w:hAnsi="Times New Roman" w:cs="Times New Roman"/>
          <w:sz w:val="24"/>
          <w:szCs w:val="24"/>
        </w:rPr>
        <w:t xml:space="preserve">Az Országos </w:t>
      </w:r>
      <w:proofErr w:type="spellStart"/>
      <w:r w:rsidRPr="00031791">
        <w:rPr>
          <w:rFonts w:ascii="Times New Roman" w:hAnsi="Times New Roman" w:cs="Times New Roman"/>
          <w:sz w:val="24"/>
          <w:szCs w:val="24"/>
        </w:rPr>
        <w:t>Tisztifőorvosi</w:t>
      </w:r>
      <w:proofErr w:type="spellEnd"/>
      <w:r w:rsidRPr="00031791">
        <w:rPr>
          <w:rFonts w:ascii="Times New Roman" w:hAnsi="Times New Roman" w:cs="Times New Roman"/>
          <w:sz w:val="24"/>
          <w:szCs w:val="24"/>
        </w:rPr>
        <w:t xml:space="preserve"> Hivatal által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2017. március 31. napjáig </w:t>
      </w:r>
      <w:r w:rsidRPr="00031791">
        <w:rPr>
          <w:rFonts w:ascii="Times New Roman" w:hAnsi="Times New Roman" w:cs="Times New Roman"/>
          <w:sz w:val="24"/>
          <w:szCs w:val="24"/>
        </w:rPr>
        <w:t xml:space="preserve">kiadott engedélyek nyilvántartása 2017. április 1. napját követően nem kerül </w:t>
      </w:r>
      <w:r w:rsidRPr="00031791">
        <w:rPr>
          <w:rFonts w:ascii="Times New Roman" w:hAnsi="Times New Roman" w:cs="Times New Roman"/>
          <w:sz w:val="24"/>
          <w:szCs w:val="24"/>
        </w:rPr>
        <w:lastRenderedPageBreak/>
        <w:t>frissítésre.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791">
        <w:rPr>
          <w:rFonts w:ascii="Times New Roman" w:hAnsi="Times New Roman" w:cs="Times New Roman"/>
          <w:sz w:val="24"/>
          <w:szCs w:val="24"/>
        </w:rPr>
        <w:t xml:space="preserve">A 2017. április 1. napját követően kiadott engedélyekkel, illetve a korábban kiadott engedélyek érvényességével kapcsolatban az engedélyes cég székhelye szerint illetékes megyei kormányhivatal </w:t>
      </w:r>
      <w:r>
        <w:rPr>
          <w:rFonts w:ascii="Times New Roman" w:hAnsi="Times New Roman" w:cs="Times New Roman"/>
          <w:sz w:val="24"/>
          <w:szCs w:val="24"/>
        </w:rPr>
        <w:t xml:space="preserve">népegészségügyi főosztálya </w:t>
      </w:r>
      <w:r w:rsidRPr="00031791">
        <w:rPr>
          <w:rFonts w:ascii="Times New Roman" w:hAnsi="Times New Roman" w:cs="Times New Roman"/>
          <w:sz w:val="24"/>
          <w:szCs w:val="24"/>
        </w:rPr>
        <w:t>tud információval szolgálni.</w:t>
      </w:r>
    </w:p>
    <w:p w:rsidR="009476AD" w:rsidRPr="004110D2" w:rsidRDefault="009476AD" w:rsidP="00535F7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76AD" w:rsidRPr="00BD6C16" w:rsidRDefault="009476AD" w:rsidP="009476A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D6C1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A háztartási ivóvíz kezelő kisberendezések </w:t>
      </w:r>
      <w:proofErr w:type="spellStart"/>
      <w:r w:rsidRPr="00BD6C1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ivóvízbiztonsági</w:t>
      </w:r>
      <w:proofErr w:type="spellEnd"/>
      <w:r w:rsidRPr="00BD6C1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engedélye</w:t>
      </w:r>
    </w:p>
    <w:p w:rsidR="009476AD" w:rsidRPr="00BD6C16" w:rsidRDefault="009476AD" w:rsidP="009476A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9476AD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háztartási ivóvíz kezelő kisberendezések forgalmazásának közegészségügyi szempontú </w:t>
      </w:r>
      <w:proofErr w:type="spellStart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ivóvízbiztonsági</w:t>
      </w:r>
      <w:proofErr w:type="spellEnd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engedélyének kiadását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2017. április 1. napját követően a megyei kormányhivatalok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végzi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az Országos Közegészségügyi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Intézet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(OKI) szakvéleménye alapján. Az OKI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szak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véleménye a kisberendezések forgalmazója, vagy gyártója által benyújtott dokumentáció értékelése és egészségügyi ellenőrző laboratóriumi vizsgálatok alapján készül.</w:t>
      </w:r>
    </w:p>
    <w:p w:rsidR="009476AD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Pr="00535F78" w:rsidRDefault="009476AD" w:rsidP="00535F7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értékelés az ivóvízzel érintkező anyagokból (műanyagok, fémötvözetek, szűrőanyagok, stb.) gyakran beoldódó vegyületekből származó veszély felmérését jelenti, valamint hogy a tesztvizsgálatok eredménye alapján számítani kell-e baktériumok elszaporodására a kisberendezésben, milyen gyakorisággal kell azt fertőtleníteni. A használatra vonatkozó, a korlátozásokat és fertőtlenítő utasításokat a gyártónak, forgalmazónak és a továbbforgalmazónak egyértelműen a vásárló tudomására kell hoznia. Vásárlás előtt a fogyasztók ellenőrizzék, hogy az adott kisberendezés milyen célra és milyen feltételekkel alkalmazható, és hogy a kezelt víz megfelel-e a hazai ivóvíz minőségi előírásoknak. </w:t>
      </w:r>
    </w:p>
    <w:p w:rsidR="00535F78" w:rsidRDefault="00535F78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9476AD" w:rsidRDefault="009476AD" w:rsidP="00535F7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D6C1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Az ivóvíz utótisztító kisberendezések előzetes közegészségügyi ellenőrzésének célja</w:t>
      </w:r>
    </w:p>
    <w:p w:rsidR="009476AD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9476AD" w:rsidRPr="00F948B0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ivóvíz utókezelő kisberendezések elsősorban a hálózati csapvíz kezelésére (pl. időszakos zavarosság, kellemetlen íz és szaganyagok, a maradékklór eltávolítására) alkalmasak. A minősítés nem terjed ki arra, hogy a berendezések megfelelőek-e talajvíz kutak vizének, összegyűjtött csapadékvizek, stb. kezelésére. Szükség esetén, egyes alkalmas berendezésekkel a fogyasztói csapon biztosított víz ólom-, arzén-, vas-, mangán- koncentrációja is csökkenthető. Ezek az ország néhány területén és egyes fogyasztói csoportok (pl. csecsemők, várandós nők, stb.) esetében lehetnek szükségesek. A laboratóriumi mérések során azt ellenőrzik, hogy a kisberendezéssel kezelt víz megfelel-e </w:t>
      </w:r>
      <w:r w:rsidR="004142C2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201/2001. (X.25.) Kormányrendeletben rögzített kémiai, mikroszkópos biológiai és mikrobiológiai tisztaságra vonatkozó előírásoknak. </w:t>
      </w:r>
    </w:p>
    <w:p w:rsidR="009476AD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Pr="00F948B0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vásárló először az ivóvíz szolgáltatónál, vagy a területileg illetékes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megyei k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ormányhivatal népegészségügyi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fő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osztály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á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n, esetleg a települési önkormányzatnál tájékozódjon az észlelt, vagy vélelmezett „ivóvíz hibákról”. Lehetőség szerint bizonyosodjon meg arról, hogy milyen hatások várhatók a berendezéstől, hogy az ajánlott kisberendezés a tartozékokkal együtt rendelkezik-e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290203">
        <w:rPr>
          <w:rFonts w:ascii="Times New Roman" w:hAnsi="Times New Roman" w:cs="Times New Roman"/>
          <w:sz w:val="24"/>
          <w:szCs w:val="24"/>
        </w:rPr>
        <w:t>201/2001. (X.25.</w:t>
      </w:r>
      <w:r>
        <w:rPr>
          <w:rFonts w:ascii="Times New Roman" w:hAnsi="Times New Roman" w:cs="Times New Roman"/>
          <w:sz w:val="24"/>
          <w:szCs w:val="24"/>
        </w:rPr>
        <w:t>) Kormányrendelet</w:t>
      </w:r>
      <w:r w:rsidDel="00010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8/B. § alapján kiadott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ivóvízbiztonsági</w:t>
      </w:r>
      <w:proofErr w:type="spellEnd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engedéllyel, az valóban alkalmas lehet-e a kívánt összetevő kiküszöbölésére anélkül, hogy a kezelt víz fogyasztása egy másféle, új veszélyt jelentene a felhasználónak.</w:t>
      </w:r>
    </w:p>
    <w:p w:rsidR="009476AD" w:rsidRPr="00F948B0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Pr="00BD6C16" w:rsidRDefault="009476AD" w:rsidP="009476A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D6C1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A leggyakrabban alkalmazott berendezés típusok</w:t>
      </w:r>
    </w:p>
    <w:p w:rsidR="009476AD" w:rsidRPr="00F948B0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Pr="00F948B0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proofErr w:type="spellStart"/>
      <w:r w:rsidRPr="00F948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Aktívszén</w:t>
      </w:r>
      <w:proofErr w:type="spellEnd"/>
      <w:r w:rsidRPr="00F948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patronnal ellátott berendezések</w:t>
      </w:r>
    </w:p>
    <w:p w:rsidR="009476AD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</w:t>
      </w:r>
      <w:proofErr w:type="spellStart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aktívszén</w:t>
      </w:r>
      <w:proofErr w:type="spellEnd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patronnal ellátott kisberendezések a víz alapvető összetevőit nem változtatják meg, de alkalmasak lehetnek a klóros fertőtlenítésből származó maradék klór, klórszármazékok és szerves anyagok eltávolítására. Hátrányuk, hogy a szénpatronban koncentrálódó sok szerves-anyagon igen könnyen elszaporodnak különféle nyálkaképző, íz és szagrontó, veszélyes nitrit-képző baktériumok, és a körülmények patogén baktériumok elszaporodásának is kedveznek. A problémát legelterjedtebben pl. ezüsttel impregnált </w:t>
      </w:r>
      <w:proofErr w:type="spellStart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aktívszén</w:t>
      </w:r>
      <w:proofErr w:type="spellEnd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adszorbens alkalmazásával küszöbölik ki, ahol azonban felmerül az ezüst beoldódásának veszélye, amely elsősorban csecsemők táplálása esetében egészségügyi kockázattal járhat. Más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ik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módszer az </w:t>
      </w:r>
      <w:proofErr w:type="spellStart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aktí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szénről</w:t>
      </w:r>
      <w:proofErr w:type="spellEnd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elfolyó víz fertőtlenítése beépített UV-lámpa alkalmazásával. Mind az impregnálás nélküli szénpatron, mind az UV-lámpa nélkül használt készülék közvetlen veszélyt jelent a fogyasztóra. Az </w:t>
      </w:r>
      <w:proofErr w:type="spellStart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aktívszén</w:t>
      </w:r>
      <w:proofErr w:type="spellEnd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patront tartalmazó kisberendezések a megfelelő biztonsággal történő ólom tartalom csökkentésére nem alkalmasak.</w:t>
      </w:r>
    </w:p>
    <w:p w:rsidR="009476AD" w:rsidRPr="00F948B0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Pr="00F948B0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Fordított ozmózisos (RO) membránnal ellátott berendezések</w:t>
      </w:r>
    </w:p>
    <w:p w:rsidR="009476AD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RO membránnal ellátott kisberendezések szinte a vízben lévő összes szervetlen iont eltávolítják, így az ólom koncentráció csökkentésére is alkalmasak. Ebből adódik nagy hátrányuk is, ugyanis a víz összes keménységét (amelyet a vízben oldott kalcium- és magnézium-ionok okoznak) is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eltávolítják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476AD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Pr="00F948B0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magyar </w:t>
      </w:r>
      <w:proofErr w:type="spellStart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ivóvízminőségi</w:t>
      </w:r>
      <w:proofErr w:type="spellEnd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előírás szerint az ivóvíz minimálisan szükséges keménysége 50 </w:t>
      </w:r>
      <w:proofErr w:type="spellStart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CaO</w:t>
      </w:r>
      <w:proofErr w:type="spellEnd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mg/L. Ilyen előírás az emberi fogyasztásra szánt víz minőségéről szóló Európai Keretirányelv (98/83/EK) általános előírásaiban ugyan nem szerepel, de számos tagországéban - és különösen membrán-kisberendezések alkalmazását követően (pl. Csehország, Olaszország, stb.) - igen. Ennek hazánkban közegészségügyi okai vannak, ugyanis a magyar lakosság kevés tejterméket, azaz kevés oldott kalciumot fogyaszt, ezért lényeges, hogy a rendszeresen használt ivóvíz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speciális és átmeneti ivókúrától eltekintve - ne ún. </w:t>
      </w:r>
      <w:proofErr w:type="gramStart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ionmentes</w:t>
      </w:r>
      <w:proofErr w:type="gramEnd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víz legyen. Emiatt az ilyen kisberendezések esetében előírás az eltávolított ionok részbeni visszapótlása. Ezt különféle módon,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például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ún. visszasózó patronok bekötésével, illetve ún. </w:t>
      </w:r>
      <w:proofErr w:type="spellStart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by-pass</w:t>
      </w:r>
      <w:proofErr w:type="spellEnd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üzemeltetéssel (a kezeletlen csapvíz és a kezelt víz bizonyos arányú keverése) oldják meg. Ez utóbbi módszer egyben azt is jelenti, hogy az eltávolítani kívánt ionok egy része is a kezelt vízben marad (például az eltávolítani kívánt ólom)! A membrán berendezések – attól függően, hogy visszasózó egységgel, vagy </w:t>
      </w:r>
      <w:proofErr w:type="gramStart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anélkül</w:t>
      </w:r>
      <w:proofErr w:type="gramEnd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kerülnek forgalomba – igen kis ásványi anyag tartalmú, vagy „só” mentes vizet állítanak elő. Ezek a vizek étel-, italkészítésre, kávéfőzők üzemeltetéséhez, stb. megfelelőek. Az ilyen vizek rendszeres használata ivásra azonban – különösen a nagy ásványianyag-vesztéssel járó kánikulai napok esetén – komoly egészségkockázatot jelent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felhasználók az ilyen ivóvízzel nem tudják pótolni a szervezetből az izzadtsággal együtt eltávozó ásványi sókat. </w:t>
      </w:r>
    </w:p>
    <w:p w:rsidR="009476AD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Pr="00F948B0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Csecsemők és kisgyermekek a testtömeghez képest nagyobb folyadékfogyasztás miatt különösen veszélyeztetettek. Az ionmentes vagy alacsony iontartalmú víz tápszer készítésére sem alkalmas, mivel annak összetételét normál iontartalmú vízhez állapították meg.</w:t>
      </w:r>
    </w:p>
    <w:p w:rsidR="009476AD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Pr="00F948B0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RO membránnal ellátott berendezések a klórvegyületek eltávolítására többnyire tartalmaznak </w:t>
      </w:r>
      <w:proofErr w:type="spellStart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aktívszén</w:t>
      </w:r>
      <w:proofErr w:type="spellEnd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szűrőt is. Az ilyen berendezések esetén is felmerülhet problémaként a készülékben kialakuló baktériumszaporulat, amelyet ezüstözött </w:t>
      </w:r>
      <w:proofErr w:type="spellStart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aktívszén</w:t>
      </w:r>
      <w:proofErr w:type="spellEnd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töltet használatával, illetve UV-lámpa alkalmazásával próbálnak kiküszöbölni. </w:t>
      </w:r>
    </w:p>
    <w:p w:rsidR="009476AD" w:rsidRPr="00F948B0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76AD" w:rsidRPr="00F948B0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Kancsós kisberendezések</w:t>
      </w:r>
    </w:p>
    <w:p w:rsidR="009476AD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Pr="00F948B0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kancsós kisberendezések a legtöbb esetben ezüstözött </w:t>
      </w:r>
      <w:proofErr w:type="spellStart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aktívszén</w:t>
      </w:r>
      <w:proofErr w:type="spellEnd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töltetet, valamint ioncserélő gyantát tartalmaznak, így alkalmasak a vízben lévő klór, klórszármazékok eltávolítására, valamint a kezelendő ivóvíz bizonyos mértékű lágyítására. Ezen kívül bizonyos ioncserélő gyanták az ólom koncentráció csökkentésére is alkalmasak lehetnek. Egyes kancsós kisberendezések speciális </w:t>
      </w:r>
      <w:proofErr w:type="spellStart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adszorbenst</w:t>
      </w:r>
      <w:proofErr w:type="spellEnd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tartalmaznak, amelyek pl. az arzén tartalom csökkentésére is jól használhatóak. Az ezüstözött </w:t>
      </w:r>
      <w:proofErr w:type="spellStart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aktívszénből</w:t>
      </w:r>
      <w:proofErr w:type="spellEnd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ezüst kerülhet a kezelt vízbe, így bizonyos típusokkal kezelt vizet nem javasolt alkalmazni csecsemők és kisgyermekek ételének, italának </w:t>
      </w:r>
      <w:r w:rsidR="004142C2">
        <w:rPr>
          <w:rFonts w:ascii="Times New Roman" w:eastAsia="Times New Roman" w:hAnsi="Times New Roman" w:cs="Times New Roman"/>
          <w:sz w:val="24"/>
          <w:szCs w:val="24"/>
          <w:lang w:eastAsia="ar-SA"/>
        </w:rPr>
        <w:t>készítéséhez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Beüzemeléskor a kancsókat el kell mosni, a töltetet legalább 2 kancsónyi vízzel át kell öblíteni az </w:t>
      </w:r>
      <w:proofErr w:type="spellStart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aktívszénből</w:t>
      </w:r>
      <w:proofErr w:type="spellEnd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és a gyantából kioldódó szennyeződések eltávolítása miatt. Az átöblítés során nyert vizet ivóvízként, illetve ételkészítési céllal felhasználni nem szabad. Használaton kívül a kancsót javasolt hűtőszekrényben tárolni. A szűrőcserék tekintetében a használati útmutatóban megadottakat be kell tartani, a kapacitástól függetlenül legalább havonta a szűrőbetéteket javasolt kicserélni.</w:t>
      </w:r>
    </w:p>
    <w:p w:rsidR="009476AD" w:rsidRPr="00F948B0" w:rsidRDefault="009476AD" w:rsidP="009476A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Default="009476AD" w:rsidP="009476A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D6C1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Az üzemeltetés módja és a karbantartás</w:t>
      </w:r>
    </w:p>
    <w:p w:rsidR="009476AD" w:rsidRPr="00F948B0" w:rsidRDefault="009476AD" w:rsidP="00535F7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76AD" w:rsidRPr="00F948B0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üzemeltetéssel és a karbantartással kapcsolatban a legfontosabb, hogy mindenképpen be kell tartani a használati útmutatót, illetve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290203">
        <w:rPr>
          <w:rFonts w:ascii="Times New Roman" w:hAnsi="Times New Roman" w:cs="Times New Roman"/>
          <w:sz w:val="24"/>
          <w:szCs w:val="24"/>
        </w:rPr>
        <w:t>201/2001. (X.25.</w:t>
      </w:r>
      <w:r>
        <w:rPr>
          <w:rFonts w:ascii="Times New Roman" w:hAnsi="Times New Roman" w:cs="Times New Roman"/>
          <w:sz w:val="24"/>
          <w:szCs w:val="24"/>
        </w:rPr>
        <w:t>) Kormányrendelet</w:t>
      </w:r>
      <w:r w:rsidDel="00010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8/B. § alapján</w:t>
      </w:r>
      <w:r w:rsidDel="000D3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kiadott </w:t>
      </w:r>
      <w:proofErr w:type="spellStart"/>
      <w:r>
        <w:rPr>
          <w:rFonts w:ascii="Times New Roman" w:hAnsi="Times New Roman" w:cs="Times New Roman"/>
          <w:sz w:val="24"/>
          <w:szCs w:val="24"/>
        </w:rPr>
        <w:t>ivóvízbiztonsági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engedélyben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megszabott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közegészségügyi 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alkalmazási feltételeket. Az alkalmazási feltételek főként a kisberendezés üzembe állítására és használatára, karbantartására vonatkoznak. A feltételek között – készüléktípustól és a vízzel érintkező anyagoktól függő – az üzembe helyezéshez tartozó átöblítési és fertőtlenítési eljárás, a 2-3 napnál hosszabb üzemszünet utáni teendők, a szűrők cseréjére, regenerálására, illetve a kisberendezés fertőtlenítésére vonatkozó előírások szerepelnek. A kezdeti fertőtlenítés és öblítés, a hosszabb üzemszünetek utáni alapos átöblítés, a tartállyal ellátott kisberendezések esetén a tartály leürítése, tisztítása és fertőtlenítése, valamint a szűrő-patronok rendszeres cseréje a baktériumok elszaporodásának lehetőségét csökkenthetik. </w:t>
      </w:r>
    </w:p>
    <w:p w:rsidR="009476AD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berendezések rendszeres (3-6 havonta történő) fertőtlenítést, karbantartást, szűrő- vagy egyéb alkatrész (pl. UV-lámpa) - cserét igényelnek, amely jelentős költséget jelenthet. A biztonságos üzemeltetés csak a használati útmutatóban leírtak pontos betartása mellett lehetséges. A berendezéseket beüzemelésekor, illetve 2-3 napos üzemszünetet követően egyes 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esetekben jelentős mennyiségű vízzel át kell öblíteni. A „kancsós” berendezéseket célszerű hűtőben tárolni.</w:t>
      </w:r>
    </w:p>
    <w:p w:rsidR="009476AD" w:rsidRPr="00F948B0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A maradék fertőtlenítőszer eltávolítása miatt a kezelt víz „romlandó”</w:t>
      </w:r>
      <w:proofErr w:type="spellStart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>-nak</w:t>
      </w:r>
      <w:proofErr w:type="spellEnd"/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minősül, ezért célszerű hűtőben tartani, és 24 órán belül elfogyasztani.</w:t>
      </w:r>
    </w:p>
    <w:p w:rsidR="009476AD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Pr="00F948B0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ivóvízkezelő kisberendezések használatának veszélye az, hogy a fogyasztó azzal, hogy megvette és a vízcsapra felszerelte a berendezést, úgy gondolja, mindent megtett az egészséges ivóvíz biztosításáért. A készülékekről szóló fogyasztói tájékoztatás sajnos nem minden esetben mutat rá megfelelően a használattal járó veszélyekre, amelyek ráadásul az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országszerte nagyon változó - eredeti hálózati víz minőségtől függően is felléphetnek. </w:t>
      </w:r>
    </w:p>
    <w:p w:rsidR="009476AD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Pr="00F948B0" w:rsidRDefault="009476AD" w:rsidP="009476A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48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vízcsapra szerelhető háztartási ivóvízkezelő kisberendezések rendszeres karbantartást igénylő berendezések. A berendezésekben a baktériumok elszaporodásával, íz- és szaganyagok megjelenésével járó, a kémiai vízminőségben is bekövetkező kedvezőtlen vagy káros vízminőség romlás kockázata, a rendeltetésszerű üzemeltetéssel, a karbantartásra vonatkozó előírások betartásával csökkenthető. </w:t>
      </w:r>
    </w:p>
    <w:p w:rsidR="009476AD" w:rsidRPr="00F948B0" w:rsidRDefault="009476AD" w:rsidP="009476A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Pr="00BD6C16" w:rsidRDefault="009476AD" w:rsidP="009476A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További tájékoztatás kérhető</w:t>
      </w:r>
      <w:r w:rsidRPr="00BD6C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9476AD" w:rsidRPr="00F948B0" w:rsidRDefault="009476AD" w:rsidP="009476A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Default="00514F54" w:rsidP="009476AD">
      <w:pPr>
        <w:suppressAutoHyphens/>
        <w:spacing w:after="0"/>
        <w:rPr>
          <w:rFonts w:ascii="Times New Roman" w:eastAsia="Times New Roman" w:hAnsi="Times New Roman" w:cs="Times New Roman"/>
          <w:color w:val="52610C"/>
          <w:sz w:val="24"/>
          <w:szCs w:val="24"/>
          <w:lang w:eastAsia="ar-SA"/>
        </w:rPr>
      </w:pPr>
      <w:hyperlink r:id="rId7" w:history="1">
        <w:r w:rsidR="009476AD" w:rsidRPr="00F948B0">
          <w:rPr>
            <w:rFonts w:ascii="Times New Roman" w:eastAsia="Times New Roman" w:hAnsi="Times New Roman" w:cs="Times New Roman"/>
            <w:color w:val="52610C"/>
            <w:sz w:val="24"/>
            <w:szCs w:val="24"/>
            <w:lang w:eastAsia="ar-SA"/>
          </w:rPr>
          <w:t>vizosztaly@oki.antsz.hu</w:t>
        </w:r>
      </w:hyperlink>
    </w:p>
    <w:p w:rsidR="009476AD" w:rsidRPr="004110D2" w:rsidRDefault="009476AD" w:rsidP="009476A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76AD" w:rsidRDefault="00507BF5" w:rsidP="009476A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2017. július 10.</w:t>
      </w:r>
      <w:bookmarkStart w:id="0" w:name="_GoBack"/>
      <w:bookmarkEnd w:id="0"/>
    </w:p>
    <w:sectPr w:rsidR="009476AD" w:rsidSect="00A369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D1" w:rsidRDefault="003D23D1" w:rsidP="00A20DCA">
      <w:pPr>
        <w:spacing w:after="0" w:line="240" w:lineRule="auto"/>
      </w:pPr>
      <w:r>
        <w:separator/>
      </w:r>
    </w:p>
  </w:endnote>
  <w:endnote w:type="continuationSeparator" w:id="0">
    <w:p w:rsidR="003D23D1" w:rsidRDefault="003D23D1" w:rsidP="00A2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556318531"/>
      <w:docPartObj>
        <w:docPartGallery w:val="Page Numbers (Bottom of Page)"/>
        <w:docPartUnique/>
      </w:docPartObj>
    </w:sdtPr>
    <w:sdtContent>
      <w:p w:rsidR="00300E77" w:rsidRPr="00BD6C16" w:rsidRDefault="00514F54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D6C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0DCA" w:rsidRPr="00BD6C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C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29F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D6C1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A20DCA">
          <w:rPr>
            <w:rFonts w:ascii="Times New Roman" w:hAnsi="Times New Roman" w:cs="Times New Roman"/>
            <w:sz w:val="24"/>
            <w:szCs w:val="24"/>
          </w:rPr>
          <w:t>/5</w:t>
        </w:r>
      </w:p>
    </w:sdtContent>
  </w:sdt>
  <w:p w:rsidR="00300E77" w:rsidRDefault="003D23D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D1" w:rsidRDefault="003D23D1" w:rsidP="00A20DCA">
      <w:pPr>
        <w:spacing w:after="0" w:line="240" w:lineRule="auto"/>
      </w:pPr>
      <w:r>
        <w:separator/>
      </w:r>
    </w:p>
  </w:footnote>
  <w:footnote w:type="continuationSeparator" w:id="0">
    <w:p w:rsidR="003D23D1" w:rsidRDefault="003D23D1" w:rsidP="00A20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6AD"/>
    <w:rsid w:val="00212BBA"/>
    <w:rsid w:val="00253558"/>
    <w:rsid w:val="003D23D1"/>
    <w:rsid w:val="004142C2"/>
    <w:rsid w:val="00507BF5"/>
    <w:rsid w:val="00514F54"/>
    <w:rsid w:val="00535F78"/>
    <w:rsid w:val="0055271B"/>
    <w:rsid w:val="006216BD"/>
    <w:rsid w:val="007166E4"/>
    <w:rsid w:val="00920DF6"/>
    <w:rsid w:val="009476AD"/>
    <w:rsid w:val="00A20DCA"/>
    <w:rsid w:val="00C2188F"/>
    <w:rsid w:val="00E43490"/>
    <w:rsid w:val="00E7377A"/>
    <w:rsid w:val="00EE29FB"/>
    <w:rsid w:val="00F4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6AD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94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4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76AD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76AD"/>
    <w:rPr>
      <w:rFonts w:eastAsiaTheme="minorEastAsia"/>
      <w:lang w:eastAsia="hu-HU"/>
    </w:rPr>
  </w:style>
  <w:style w:type="paragraph" w:styleId="Nincstrkz">
    <w:name w:val="No Spacing"/>
    <w:uiPriority w:val="1"/>
    <w:qFormat/>
    <w:rsid w:val="009476A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76AD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76AD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94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4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76AD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76AD"/>
    <w:rPr>
      <w:rFonts w:eastAsiaTheme="minorEastAsia"/>
      <w:lang w:eastAsia="hu-HU"/>
    </w:rPr>
  </w:style>
  <w:style w:type="paragraph" w:styleId="Nincstrkz">
    <w:name w:val="No Spacing"/>
    <w:uiPriority w:val="1"/>
    <w:qFormat/>
    <w:rsid w:val="009476A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76AD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izosztaly@oki.antsz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Beregszászi Tímea Ildikó</dc:creator>
  <cp:lastModifiedBy>Iroda256</cp:lastModifiedBy>
  <cp:revision>2</cp:revision>
  <cp:lastPrinted>2017-06-07T10:06:00Z</cp:lastPrinted>
  <dcterms:created xsi:type="dcterms:W3CDTF">2017-08-16T11:05:00Z</dcterms:created>
  <dcterms:modified xsi:type="dcterms:W3CDTF">2017-08-16T11:05:00Z</dcterms:modified>
</cp:coreProperties>
</file>